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1D2" w:rsidRDefault="00B761D2" w:rsidP="00B761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                                              седьмого созыва                                                         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B761D2" w:rsidRDefault="00B761D2" w:rsidP="00B761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761D2" w:rsidRDefault="00B761D2" w:rsidP="00B761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2024года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№ 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25.11.2014 г. № 76 « Об  установлении налога на имущество физических  лиц»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главой 32 Налогового кодекса Российской Федерации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 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25.11.2014 г.   № 76 </w:t>
      </w:r>
      <w:proofErr w:type="gramStart"/>
      <w:r>
        <w:rPr>
          <w:rFonts w:ascii="Times New Roman" w:hAnsi="Times New Roman" w:cs="Times New Roman"/>
          <w:sz w:val="28"/>
          <w:szCs w:val="28"/>
        </w:rPr>
        <w:t>« 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установлении налога на имущество физических  лиц»  изменения, дополнив  пунктом 3 следующего  содержания: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>-мест, расположенных   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Налоговая  льгота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предусмотренная в части третьей настоящего пункта, предоставляется при соблюдении условия: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</w:t>
      </w:r>
      <w:r>
        <w:rPr>
          <w:rFonts w:ascii="Times New Roman" w:hAnsi="Times New Roman" w:cs="Times New Roman"/>
          <w:sz w:val="28"/>
          <w:szCs w:val="28"/>
        </w:rPr>
        <w:lastRenderedPageBreak/>
        <w:t>имущества ( 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 ( включительно) и более сумму налога, исчисленную исходя из кадастровой стоимости объекта недвижимого имущества ( без учета положений пунктов 4, 5 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налоговый период 2025 года - сумма налога на имущество физических, исчисленная исходя  из кадастровой стоимости  объекта недвижимого имущества ( без учета положений пунктов 4,5,6 и статьи 408 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превышает на 70 процентов (включительно) 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 1 января 2023 года;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процентов(включительно) и более сумму налога 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 с 1 января 2023 года.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B761D2" w:rsidRDefault="00B761D2" w:rsidP="00B761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  налоговый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период 2024 года:</w:t>
      </w:r>
    </w:p>
    <w:p w:rsidR="00B761D2" w:rsidRDefault="00B761D2" w:rsidP="00B761D2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НЛ= (Н2024-Н2023х1,4) </w:t>
      </w:r>
    </w:p>
    <w:p w:rsidR="00B761D2" w:rsidRDefault="00B761D2" w:rsidP="00B761D2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d  х  n,           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12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налоговый  период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2025 года: 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НЛ= (Н2025- Н2023Х1,7)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х  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х  n,  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12</w:t>
      </w:r>
    </w:p>
    <w:p w:rsidR="00B761D2" w:rsidRDefault="00B761D2" w:rsidP="00B761D2">
      <w:pPr>
        <w:pBdr>
          <w:bottom w:val="single" w:sz="12" w:space="0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B761D2" w:rsidRDefault="00B761D2" w:rsidP="00B761D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  налоговый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период 2026 года:</w:t>
      </w:r>
    </w:p>
    <w:p w:rsidR="00B761D2" w:rsidRDefault="00B761D2" w:rsidP="00B761D2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НЛ= (Н2026-Н2023х2)</w:t>
      </w:r>
    </w:p>
    <w:p w:rsidR="00B761D2" w:rsidRDefault="00B761D2" w:rsidP="00B761D2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d  х  n</w:t>
      </w:r>
      <w:r>
        <w:rPr>
          <w:rFonts w:ascii="Times New Roman" w:hAnsi="Times New Roman" w:cs="Times New Roman"/>
          <w:sz w:val="28"/>
          <w:szCs w:val="28"/>
        </w:rPr>
        <w:t xml:space="preserve">                       где:      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12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НЛ-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Н2023- сумма налога на имущество физических лиц, рассчитанная за налоговый период 2023 года (без учета положений пунктов 4,5, и 6 статьи 408 Налогового кодекса Российской Федерации) в отношении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объекта  недвижимого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Н2024 – сумма налога на имущество физических лиц, рассчитанная за налоговый период 2024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</w:t>
      </w:r>
      <w:proofErr w:type="gramStart"/>
      <w:r>
        <w:rPr>
          <w:rFonts w:ascii="Times New Roman" w:hAnsi="Times New Roman" w:cs="Times New Roman"/>
          <w:sz w:val="28"/>
          <w:szCs w:val="28"/>
        </w:rPr>
        <w:t>января  года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налогового периода;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 2026-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n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лиц,  право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применение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Зам Главы по работе в Совете</w:t>
      </w: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1D2" w:rsidRDefault="00B761D2" w:rsidP="00B761D2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FA4"/>
    <w:rsid w:val="00103FA4"/>
    <w:rsid w:val="001B0E44"/>
    <w:rsid w:val="00803527"/>
    <w:rsid w:val="00B7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CA012-DA1E-41C4-A229-92EA758F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1D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1123</Words>
  <Characters>6402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2024-07-30T13:10:00Z</dcterms:created>
  <dcterms:modified xsi:type="dcterms:W3CDTF">2024-07-30T13:11:00Z</dcterms:modified>
</cp:coreProperties>
</file>